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594"/>
        <w:gridCol w:w="541"/>
        <w:gridCol w:w="3775"/>
      </w:tblGrid>
      <w:tr w:rsidR="00A24DE5" w:rsidTr="009C1FA1">
        <w:tc>
          <w:tcPr>
            <w:tcW w:w="8630" w:type="dxa"/>
            <w:gridSpan w:val="4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Court"/>
            </w:pPr>
            <w:bookmarkStart w:id="0" w:name="_GoBack"/>
            <w:bookmarkEnd w:id="0"/>
            <w:r>
              <w:t xml:space="preserve">In the United States District Court </w:t>
            </w:r>
            <w:r>
              <w:br/>
              <w:t>for the Western District of Pennsylvania</w:t>
            </w:r>
          </w:p>
        </w:tc>
      </w:tr>
      <w:tr w:rsidR="00A24DE5" w:rsidTr="00140667">
        <w:tc>
          <w:tcPr>
            <w:tcW w:w="431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blankline"/>
            </w:pP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blankline"/>
            </w:pPr>
          </w:p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blankline"/>
            </w:pPr>
          </w:p>
        </w:tc>
      </w:tr>
      <w:tr w:rsidR="00A24DE5" w:rsidTr="00140667">
        <w:tc>
          <w:tcPr>
            <w:tcW w:w="431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0B1832" w:rsidP="009C1FA1">
            <w:pPr>
              <w:pStyle w:val="ProtectiveOrder-Caption-PartyName"/>
            </w:pPr>
            <w:r>
              <w:rPr>
                <w:highlight w:val="yellow"/>
              </w:rPr>
              <w:t>i</w:t>
            </w:r>
            <w:r w:rsidR="0081074C" w:rsidRPr="0081074C">
              <w:rPr>
                <w:highlight w:val="yellow"/>
              </w:rPr>
              <w:t>nsert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A24DE5" w:rsidP="009C1FA1"/>
        </w:tc>
      </w:tr>
      <w:tr w:rsidR="00A24DE5" w:rsidTr="00140667">
        <w:tc>
          <w:tcPr>
            <w:tcW w:w="720" w:type="dxa"/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59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Pr="003D1075" w:rsidRDefault="00A24DE5" w:rsidP="009C1FA1">
            <w:pPr>
              <w:pStyle w:val="ProtectiveOrder-Caption-PartyStatus"/>
            </w:pPr>
            <w:r w:rsidRPr="003D1075">
              <w:t>Plaintiff,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Normaltext"/>
            </w:pPr>
            <w:r>
              <w:t xml:space="preserve">Case No: </w:t>
            </w:r>
            <w:proofErr w:type="gramStart"/>
            <w:r>
              <w:t>2:</w:t>
            </w:r>
            <w:r w:rsidRPr="00A24DE5">
              <w:rPr>
                <w:highlight w:val="yellow"/>
              </w:rPr>
              <w:t>xx</w:t>
            </w:r>
            <w:proofErr w:type="gramEnd"/>
            <w:r>
              <w:t>-cv-</w:t>
            </w:r>
            <w:r w:rsidRPr="00A24DE5">
              <w:rPr>
                <w:highlight w:val="yellow"/>
              </w:rPr>
              <w:t>xxx</w:t>
            </w:r>
          </w:p>
        </w:tc>
      </w:tr>
      <w:tr w:rsidR="00A24DE5" w:rsidTr="00140667">
        <w:tc>
          <w:tcPr>
            <w:tcW w:w="720" w:type="dxa"/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59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Normaltext"/>
            </w:pPr>
            <w:r>
              <w:t>v.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140667" w:rsidP="009C1FA1">
            <w:pPr>
              <w:pStyle w:val="ProtectiveOrder-Caption-Normaltext"/>
            </w:pPr>
            <w:r>
              <w:t>The Honorable Peter J. Phipps</w:t>
            </w:r>
          </w:p>
        </w:tc>
      </w:tr>
      <w:tr w:rsidR="00A24DE5" w:rsidTr="00140667">
        <w:tc>
          <w:tcPr>
            <w:tcW w:w="431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81074C" w:rsidP="009C1FA1">
            <w:pPr>
              <w:pStyle w:val="ProtectiveOrder-Caption-PartyName"/>
            </w:pPr>
            <w:r w:rsidRPr="0081074C">
              <w:rPr>
                <w:highlight w:val="yellow"/>
              </w:rPr>
              <w:t>insert</w:t>
            </w:r>
            <w:r w:rsidR="00A24DE5">
              <w:t>,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Normaltext"/>
            </w:pPr>
          </w:p>
        </w:tc>
      </w:tr>
      <w:tr w:rsidR="00A24DE5" w:rsidTr="00140667">
        <w:tc>
          <w:tcPr>
            <w:tcW w:w="720" w:type="dxa"/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59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Pr="003D1075" w:rsidRDefault="00A24DE5" w:rsidP="009C1FA1">
            <w:pPr>
              <w:pStyle w:val="ProtectiveOrder-Caption-PartyStatus"/>
            </w:pPr>
            <w:r w:rsidRPr="003D1075">
              <w:t>Defendant</w:t>
            </w:r>
            <w:r>
              <w:t>.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/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A24DE5" w:rsidP="009C1FA1"/>
        </w:tc>
      </w:tr>
      <w:tr w:rsidR="00A24DE5" w:rsidTr="00140667">
        <w:tc>
          <w:tcPr>
            <w:tcW w:w="431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blankline"/>
            </w:pPr>
          </w:p>
        </w:tc>
        <w:tc>
          <w:tcPr>
            <w:tcW w:w="5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blankline"/>
            </w:pPr>
          </w:p>
        </w:tc>
        <w:tc>
          <w:tcPr>
            <w:tcW w:w="3775" w:type="dxa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Caption-blankline"/>
            </w:pPr>
          </w:p>
        </w:tc>
      </w:tr>
      <w:tr w:rsidR="00A24DE5" w:rsidTr="009C1FA1">
        <w:tc>
          <w:tcPr>
            <w:tcW w:w="8630" w:type="dxa"/>
            <w:gridSpan w:val="4"/>
            <w:tcMar>
              <w:left w:w="0" w:type="dxa"/>
              <w:right w:w="0" w:type="dxa"/>
            </w:tcMar>
          </w:tcPr>
          <w:p w:rsidR="00A24DE5" w:rsidRDefault="00B14454" w:rsidP="009C1FA1">
            <w:pPr>
              <w:pStyle w:val="ProtectiveOrder-Caption-DocumentTitle"/>
            </w:pPr>
            <w:r>
              <w:t xml:space="preserve">[Proposed] </w:t>
            </w:r>
            <w:r w:rsidRPr="00AE1CA7">
              <w:rPr>
                <w:caps/>
              </w:rPr>
              <w:t>Protective Order</w:t>
            </w:r>
          </w:p>
        </w:tc>
      </w:tr>
    </w:tbl>
    <w:p w:rsidR="00777166" w:rsidRDefault="00635EA9" w:rsidP="00777166">
      <w:pPr>
        <w:pStyle w:val="ProtectiveOrder-Body-Normaltext"/>
      </w:pPr>
      <w:r>
        <w:t xml:space="preserve">Upon the request of the parties in the above-captioned </w:t>
      </w:r>
      <w:r w:rsidR="00C819DE">
        <w:t>action</w:t>
      </w:r>
      <w:r>
        <w:t xml:space="preserve">, and pursuant </w:t>
      </w:r>
      <w:r w:rsidR="00DC2F5D">
        <w:t xml:space="preserve">to Rule 26(c) of the Federal Rules of Civil Procedure, the Court hereby enters the following protective order to facilitate discovery </w:t>
      </w:r>
      <w:r w:rsidR="00C7718F">
        <w:t xml:space="preserve">in this action </w:t>
      </w:r>
      <w:r w:rsidR="00DC2F5D">
        <w:t>and to protect confidential or sensitive information produced in discovery by restricting its dissemination and use.</w:t>
      </w:r>
    </w:p>
    <w:p w:rsidR="00493EB6" w:rsidRDefault="00493EB6" w:rsidP="00493EB6">
      <w:pPr>
        <w:pStyle w:val="PO-Level1"/>
      </w:pPr>
      <w:r>
        <w:t>Protectable Information</w:t>
      </w:r>
    </w:p>
    <w:p w:rsidR="00493EB6" w:rsidRDefault="00C21BDC" w:rsidP="00493EB6">
      <w:pPr>
        <w:pStyle w:val="PO-Level2"/>
      </w:pPr>
      <w:r>
        <w:t>“</w:t>
      </w:r>
      <w:r w:rsidR="005029DB">
        <w:t>Protectable Information</w:t>
      </w:r>
      <w:r>
        <w:t>”</w:t>
      </w:r>
      <w:r w:rsidR="005029DB">
        <w:t xml:space="preserve"> is any information </w:t>
      </w:r>
      <w:r w:rsidR="00362310">
        <w:t xml:space="preserve">produced in discovery in this action that is </w:t>
      </w:r>
      <w:r>
        <w:t>within or derived from the following categories of information</w:t>
      </w:r>
      <w:r w:rsidR="005029DB">
        <w:t>:</w:t>
      </w:r>
    </w:p>
    <w:p w:rsidR="00493EB6" w:rsidRPr="005876A6" w:rsidRDefault="00C21BDC" w:rsidP="00E81B2F">
      <w:pPr>
        <w:pStyle w:val="PO-Level3"/>
      </w:pPr>
      <w:r w:rsidRPr="00C21BDC">
        <w:rPr>
          <w:b/>
          <w:highlight w:val="yellow"/>
        </w:rPr>
        <w:t>Insert</w:t>
      </w:r>
      <w:r>
        <w:rPr>
          <w:highlight w:val="yellow"/>
        </w:rPr>
        <w:t xml:space="preserve"> specific description of categories of documents</w:t>
      </w:r>
      <w:r w:rsidR="006D1155">
        <w:rPr>
          <w:highlight w:val="yellow"/>
        </w:rPr>
        <w:t xml:space="preserve"> and/or</w:t>
      </w:r>
      <w:r>
        <w:rPr>
          <w:highlight w:val="yellow"/>
        </w:rPr>
        <w:t xml:space="preserve"> </w:t>
      </w:r>
    </w:p>
    <w:p w:rsidR="005876A6" w:rsidRDefault="00C21BDC" w:rsidP="00E81B2F">
      <w:pPr>
        <w:pStyle w:val="PO-Level3"/>
      </w:pPr>
      <w:r w:rsidRPr="00C21BDC">
        <w:rPr>
          <w:b/>
          <w:highlight w:val="yellow"/>
        </w:rPr>
        <w:t>Insert</w:t>
      </w:r>
      <w:r>
        <w:rPr>
          <w:highlight w:val="yellow"/>
        </w:rPr>
        <w:t xml:space="preserve"> additional </w:t>
      </w:r>
      <w:r w:rsidR="006D1155">
        <w:rPr>
          <w:highlight w:val="yellow"/>
        </w:rPr>
        <w:t>specific documents</w:t>
      </w:r>
    </w:p>
    <w:p w:rsidR="005029DB" w:rsidRDefault="005029DB" w:rsidP="00C21BDC">
      <w:pPr>
        <w:pStyle w:val="PO-Level2"/>
      </w:pPr>
      <w:r>
        <w:t xml:space="preserve">Notwithstanding </w:t>
      </w:r>
      <w:r w:rsidR="00312B04">
        <w:t>paragraph (a)</w:t>
      </w:r>
      <w:r>
        <w:t>, the following information is not Protectable Information:</w:t>
      </w:r>
      <w:r w:rsidR="00C21BDC">
        <w:t xml:space="preserve"> a</w:t>
      </w:r>
      <w:r w:rsidRPr="005029DB">
        <w:t xml:space="preserve">ny information that </w:t>
      </w:r>
      <w:r w:rsidR="00C21BDC">
        <w:t>(</w:t>
      </w:r>
      <w:proofErr w:type="spellStart"/>
      <w:r w:rsidR="00312B04">
        <w:t>i</w:t>
      </w:r>
      <w:proofErr w:type="spellEnd"/>
      <w:r w:rsidR="00C21BDC">
        <w:t xml:space="preserve">) </w:t>
      </w:r>
      <w:r w:rsidR="007408B0" w:rsidRPr="005029DB">
        <w:t xml:space="preserve">at the time that the information is </w:t>
      </w:r>
      <w:r w:rsidR="007408B0">
        <w:t>produced</w:t>
      </w:r>
      <w:r w:rsidR="009F4368">
        <w:t>,</w:t>
      </w:r>
      <w:r w:rsidR="007408B0">
        <w:t xml:space="preserve"> </w:t>
      </w:r>
      <w:r w:rsidR="00312B04">
        <w:t xml:space="preserve">is </w:t>
      </w:r>
      <w:r w:rsidRPr="005029DB">
        <w:t xml:space="preserve">in the public domain or </w:t>
      </w:r>
      <w:r w:rsidR="00C21BDC">
        <w:t>(</w:t>
      </w:r>
      <w:r w:rsidR="00312B04">
        <w:t>ii</w:t>
      </w:r>
      <w:r w:rsidR="00C21BDC">
        <w:t xml:space="preserve">) </w:t>
      </w:r>
      <w:r w:rsidR="007408B0">
        <w:t>after the information is produced</w:t>
      </w:r>
      <w:r w:rsidR="009F4368">
        <w:t>,</w:t>
      </w:r>
      <w:r w:rsidR="007408B0">
        <w:t xml:space="preserve"> </w:t>
      </w:r>
      <w:r w:rsidRPr="005029DB">
        <w:t xml:space="preserve">becomes part of the public domain </w:t>
      </w:r>
      <w:r w:rsidR="00C21BDC">
        <w:t xml:space="preserve">in a manner that does not violate </w:t>
      </w:r>
      <w:r w:rsidRPr="005029DB">
        <w:t xml:space="preserve">this </w:t>
      </w:r>
      <w:r w:rsidR="00C819DE">
        <w:t>protective o</w:t>
      </w:r>
      <w:r w:rsidRPr="005029DB">
        <w:t>rder</w:t>
      </w:r>
      <w:r w:rsidR="00C21BDC">
        <w:t>.</w:t>
      </w:r>
    </w:p>
    <w:p w:rsidR="00493EB6" w:rsidRDefault="00C21BDC" w:rsidP="00493EB6">
      <w:pPr>
        <w:pStyle w:val="PO-Level1"/>
      </w:pPr>
      <w:r>
        <w:lastRenderedPageBreak/>
        <w:t>Designation of Protected Information</w:t>
      </w:r>
    </w:p>
    <w:p w:rsidR="00493EB6" w:rsidRDefault="006D4752" w:rsidP="00493EB6">
      <w:pPr>
        <w:pStyle w:val="PO-Level2"/>
      </w:pPr>
      <w:r>
        <w:t>“</w:t>
      </w:r>
      <w:r w:rsidR="005029DB">
        <w:t xml:space="preserve">Protected </w:t>
      </w:r>
      <w:r w:rsidR="00F758F9">
        <w:t>Information</w:t>
      </w:r>
      <w:r>
        <w:t>”</w:t>
      </w:r>
      <w:r w:rsidR="00F758F9">
        <w:t xml:space="preserve"> </w:t>
      </w:r>
      <w:r w:rsidR="005029DB">
        <w:t xml:space="preserve">is any Protectable Information that </w:t>
      </w:r>
      <w:r w:rsidR="00F758F9">
        <w:t>the producing party or non-party “Designates” as confidential</w:t>
      </w:r>
      <w:r w:rsidR="005029DB">
        <w:t>.</w:t>
      </w:r>
    </w:p>
    <w:p w:rsidR="00F758F9" w:rsidRDefault="00F758F9" w:rsidP="00493EB6">
      <w:pPr>
        <w:pStyle w:val="PO-Level2"/>
      </w:pPr>
      <w:r>
        <w:t xml:space="preserve">A party or non-party producing </w:t>
      </w:r>
      <w:r w:rsidR="001F7B0D">
        <w:t xml:space="preserve">Protectable Information </w:t>
      </w:r>
      <w:r w:rsidR="004D3B77">
        <w:t>may</w:t>
      </w:r>
      <w:r>
        <w:t xml:space="preserve"> “Designate” that information as </w:t>
      </w:r>
      <w:r w:rsidR="006D1155">
        <w:t>c</w:t>
      </w:r>
      <w:r>
        <w:t>onfidential through one of three mechanisms:</w:t>
      </w:r>
    </w:p>
    <w:p w:rsidR="001F7B0D" w:rsidRDefault="00F758F9" w:rsidP="00F758F9">
      <w:pPr>
        <w:pStyle w:val="PO-Level3"/>
      </w:pPr>
      <w:r>
        <w:t>For document</w:t>
      </w:r>
      <w:r w:rsidR="006D1155">
        <w:t>s produced in discovery, including sworn statements and responses to written discovery requests</w:t>
      </w:r>
      <w:r w:rsidR="007408B0">
        <w:t xml:space="preserve">, </w:t>
      </w:r>
      <w:r w:rsidR="004D3B77">
        <w:t xml:space="preserve">by </w:t>
      </w:r>
      <w:r w:rsidR="00B25B91">
        <w:t>mark</w:t>
      </w:r>
      <w:r w:rsidR="004D3B77">
        <w:t>ing</w:t>
      </w:r>
      <w:r w:rsidR="00B25B91">
        <w:t xml:space="preserve"> </w:t>
      </w:r>
      <w:r w:rsidR="004D3B77">
        <w:t xml:space="preserve">the </w:t>
      </w:r>
      <w:r>
        <w:t>page</w:t>
      </w:r>
      <w:r w:rsidR="004D3B77">
        <w:t>s</w:t>
      </w:r>
      <w:r>
        <w:t xml:space="preserve"> of the document</w:t>
      </w:r>
      <w:r w:rsidR="00B25B91">
        <w:t xml:space="preserve"> as </w:t>
      </w:r>
      <w:r>
        <w:t xml:space="preserve">“CONFIDENTIAL </w:t>
      </w:r>
      <w:r w:rsidR="00047369">
        <w:t xml:space="preserve">– </w:t>
      </w:r>
      <w:r>
        <w:t>SUBJECT</w:t>
      </w:r>
      <w:r w:rsidR="00047369">
        <w:t xml:space="preserve"> </w:t>
      </w:r>
      <w:r>
        <w:t xml:space="preserve">TO PROTECTIVE ORDER in W.D. Pa. Case No. </w:t>
      </w:r>
      <w:proofErr w:type="gramStart"/>
      <w:r>
        <w:t>2:</w:t>
      </w:r>
      <w:r w:rsidRPr="00F758F9">
        <w:rPr>
          <w:highlight w:val="yellow"/>
        </w:rPr>
        <w:t>xx</w:t>
      </w:r>
      <w:proofErr w:type="gramEnd"/>
      <w:r>
        <w:t>-cv-</w:t>
      </w:r>
      <w:r w:rsidRPr="003D0D11">
        <w:rPr>
          <w:highlight w:val="yellow"/>
        </w:rPr>
        <w:t>xxxxx</w:t>
      </w:r>
      <w:r>
        <w:t>”</w:t>
      </w:r>
      <w:r w:rsidR="003D0D11">
        <w:t>;</w:t>
      </w:r>
    </w:p>
    <w:p w:rsidR="003D0D11" w:rsidRDefault="003D0D11" w:rsidP="003D0D11">
      <w:pPr>
        <w:pStyle w:val="PO-Level3"/>
      </w:pPr>
      <w:r>
        <w:t xml:space="preserve">For </w:t>
      </w:r>
      <w:r w:rsidRPr="003D0D11">
        <w:t xml:space="preserve">Protectable Information stored in a medium that makes such stamping impracticable (such as computer data), </w:t>
      </w:r>
      <w:r w:rsidR="004D3B77">
        <w:t xml:space="preserve">by </w:t>
      </w:r>
      <w:r w:rsidRPr="003D0D11">
        <w:t>stamp</w:t>
      </w:r>
      <w:r w:rsidR="004D3B77">
        <w:t>ing</w:t>
      </w:r>
      <w:r w:rsidRPr="003D0D11">
        <w:t xml:space="preserve"> or </w:t>
      </w:r>
      <w:r>
        <w:t>mark</w:t>
      </w:r>
      <w:r w:rsidR="004D3B77">
        <w:t>ing</w:t>
      </w:r>
      <w:r>
        <w:t xml:space="preserve"> </w:t>
      </w:r>
      <w:r w:rsidR="00B25B91">
        <w:t xml:space="preserve">the </w:t>
      </w:r>
      <w:r w:rsidR="00AF5C60" w:rsidRPr="003D0D11">
        <w:t>casing</w:t>
      </w:r>
      <w:r w:rsidR="00AF5C60">
        <w:t xml:space="preserve"> or</w:t>
      </w:r>
      <w:r w:rsidR="00AF5C60" w:rsidRPr="003D0D11">
        <w:t xml:space="preserve"> housing</w:t>
      </w:r>
      <w:r w:rsidR="00AF5C60">
        <w:t xml:space="preserve"> </w:t>
      </w:r>
      <w:r w:rsidR="00605634">
        <w:t>of</w:t>
      </w:r>
      <w:r w:rsidR="00AF5C60">
        <w:t xml:space="preserve"> the</w:t>
      </w:r>
      <w:r w:rsidR="00AF5C60" w:rsidRPr="003D0D11">
        <w:t xml:space="preserve"> </w:t>
      </w:r>
      <w:r w:rsidR="00B25B91">
        <w:t xml:space="preserve">medium as </w:t>
      </w:r>
      <w:r>
        <w:t xml:space="preserve">“CONFIDENTIAL </w:t>
      </w:r>
      <w:r w:rsidR="00047369">
        <w:t xml:space="preserve">– </w:t>
      </w:r>
      <w:r>
        <w:t>SUBJECT</w:t>
      </w:r>
      <w:r w:rsidR="00047369">
        <w:t xml:space="preserve"> </w:t>
      </w:r>
      <w:r>
        <w:t xml:space="preserve">TO PROTECTIVE ORDER in W.D. Pa. Case No. </w:t>
      </w:r>
      <w:proofErr w:type="gramStart"/>
      <w:r>
        <w:t>2:</w:t>
      </w:r>
      <w:r w:rsidRPr="00F758F9">
        <w:rPr>
          <w:highlight w:val="yellow"/>
        </w:rPr>
        <w:t>xx</w:t>
      </w:r>
      <w:proofErr w:type="gramEnd"/>
      <w:r>
        <w:t>-cv-</w:t>
      </w:r>
      <w:r w:rsidRPr="003D0D11">
        <w:rPr>
          <w:highlight w:val="yellow"/>
        </w:rPr>
        <w:t>xxxxx</w:t>
      </w:r>
      <w:r>
        <w:t>”; or</w:t>
      </w:r>
    </w:p>
    <w:p w:rsidR="003D0D11" w:rsidRDefault="004D3B77" w:rsidP="00764DD8">
      <w:pPr>
        <w:pStyle w:val="PO-Level3"/>
      </w:pPr>
      <w:r>
        <w:t xml:space="preserve">For </w:t>
      </w:r>
      <w:r w:rsidRPr="003D0D11">
        <w:t>depositions</w:t>
      </w:r>
      <w:r>
        <w:t xml:space="preserve">, by providing written notice </w:t>
      </w:r>
      <w:r w:rsidR="00764DD8">
        <w:t xml:space="preserve">indicating </w:t>
      </w:r>
      <w:r>
        <w:t xml:space="preserve">the page and line </w:t>
      </w:r>
      <w:r w:rsidRPr="003D0D11">
        <w:t>number</w:t>
      </w:r>
      <w:r>
        <w:t>s of the transcript that are to be treated as “CONFIDENTIAL – SUBJECT TO PROTECTIVE ORDER in W.D. Pa. Case No. 2:</w:t>
      </w:r>
      <w:r w:rsidRPr="00F758F9">
        <w:rPr>
          <w:highlight w:val="yellow"/>
        </w:rPr>
        <w:t>xx</w:t>
      </w:r>
      <w:r>
        <w:t>-cv-</w:t>
      </w:r>
      <w:r w:rsidRPr="003D0D11">
        <w:rPr>
          <w:highlight w:val="yellow"/>
        </w:rPr>
        <w:t>xxxxx</w:t>
      </w:r>
      <w:r>
        <w:t>”</w:t>
      </w:r>
      <w:r w:rsidR="00764DD8">
        <w:t xml:space="preserve">; such written notice shall be provided </w:t>
      </w:r>
      <w:r w:rsidR="00605634">
        <w:t>within 21 days of the preparation of the transcript to all persons either in attendance at the deposition or known to have possession or custody of the deposition transcript;</w:t>
      </w:r>
      <w:r w:rsidR="00764DD8">
        <w:t xml:space="preserve"> and for the period between </w:t>
      </w:r>
      <w:r w:rsidR="00AF5C60">
        <w:t xml:space="preserve">the time of deposition </w:t>
      </w:r>
      <w:r w:rsidR="00764DD8">
        <w:t xml:space="preserve">and </w:t>
      </w:r>
      <w:r w:rsidR="00AF5C60">
        <w:t xml:space="preserve">21 days following </w:t>
      </w:r>
      <w:r w:rsidR="00764DD8">
        <w:t xml:space="preserve">its </w:t>
      </w:r>
      <w:r w:rsidR="00AF5C60">
        <w:t>transcription</w:t>
      </w:r>
      <w:r w:rsidR="00764DD8">
        <w:t>, the contents of the deposition shall be treated as Protected Information.</w:t>
      </w:r>
      <w:r w:rsidR="00AF5C60">
        <w:t xml:space="preserve"> </w:t>
      </w:r>
    </w:p>
    <w:p w:rsidR="00493EB6" w:rsidRDefault="00047369" w:rsidP="006D3AA8">
      <w:pPr>
        <w:pStyle w:val="PO-Level2"/>
      </w:pPr>
      <w:r>
        <w:t>I</w:t>
      </w:r>
      <w:r w:rsidR="003D0D11" w:rsidRPr="003D0D11">
        <w:t xml:space="preserve">nformation copied or derived from </w:t>
      </w:r>
      <w:r>
        <w:t>P</w:t>
      </w:r>
      <w:r w:rsidR="003D0D11" w:rsidRPr="003D0D11">
        <w:t>rotected Information</w:t>
      </w:r>
      <w:r>
        <w:t xml:space="preserve"> also constitutes Protected Information</w:t>
      </w:r>
      <w:r w:rsidR="006D3AA8">
        <w:t>.</w:t>
      </w:r>
    </w:p>
    <w:p w:rsidR="004D3B77" w:rsidRDefault="004D3B77" w:rsidP="004D3B77">
      <w:pPr>
        <w:pStyle w:val="PO-Level2"/>
      </w:pPr>
      <w:r>
        <w:t>This protective order does not confer a right to any person who receives information in discovery to Designate that information as Protected Information; if a person wishes to secure some degree of protection for information it receives in discovery, that should be addressed through separate motion.</w:t>
      </w:r>
    </w:p>
    <w:p w:rsidR="00493EB6" w:rsidRDefault="00014924" w:rsidP="00493EB6">
      <w:pPr>
        <w:pStyle w:val="PO-Level1"/>
      </w:pPr>
      <w:r>
        <w:lastRenderedPageBreak/>
        <w:t>Permissible Use</w:t>
      </w:r>
      <w:r w:rsidR="006D3AA8">
        <w:t>s</w:t>
      </w:r>
      <w:r>
        <w:t xml:space="preserve"> and Required </w:t>
      </w:r>
      <w:r w:rsidR="008C1054">
        <w:t xml:space="preserve">Maintenance of Protected Information </w:t>
      </w:r>
    </w:p>
    <w:p w:rsidR="00014924" w:rsidRDefault="00014924" w:rsidP="00493EB6">
      <w:pPr>
        <w:pStyle w:val="PO-Level2"/>
      </w:pPr>
      <w:r>
        <w:t xml:space="preserve">Any person receiving Protected Information shall use that Protected Information only for purposes of this action.  </w:t>
      </w:r>
    </w:p>
    <w:p w:rsidR="008C1054" w:rsidRDefault="008C1054" w:rsidP="00493EB6">
      <w:pPr>
        <w:pStyle w:val="PO-Level2"/>
      </w:pPr>
      <w:r>
        <w:t xml:space="preserve">Any person receiving Protected Information shall take reasonable efforts to safeguard </w:t>
      </w:r>
      <w:r w:rsidR="00055D40">
        <w:t xml:space="preserve">its </w:t>
      </w:r>
      <w:r>
        <w:t>confidentiality</w:t>
      </w:r>
      <w:r w:rsidR="00055D40">
        <w:t xml:space="preserve"> as well as the confidentiality of copies and derivations of that Protected Information</w:t>
      </w:r>
      <w:r w:rsidR="00014924">
        <w:t>.</w:t>
      </w:r>
      <w:r w:rsidR="00FF07D5">
        <w:t xml:space="preserve">  </w:t>
      </w:r>
    </w:p>
    <w:p w:rsidR="00014924" w:rsidRDefault="00014924" w:rsidP="00493EB6">
      <w:pPr>
        <w:pStyle w:val="PO-Level2"/>
      </w:pPr>
      <w:r>
        <w:t>Any person receiving Protected Information shall not disclose or disseminate that Protected Information except to the following persons:</w:t>
      </w:r>
    </w:p>
    <w:p w:rsidR="006D3AA8" w:rsidRDefault="006D3AA8" w:rsidP="005F37FE">
      <w:pPr>
        <w:pStyle w:val="PO-Level3"/>
      </w:pPr>
      <w:r>
        <w:t>The Court, including any appellate court or tribunal responsible for adjudicating claims or defenses related to this action, as well as court personnel and court reporters</w:t>
      </w:r>
      <w:r w:rsidR="00764DD8">
        <w:t>;</w:t>
      </w:r>
    </w:p>
    <w:p w:rsidR="00536110" w:rsidRDefault="00536110" w:rsidP="005F37FE">
      <w:pPr>
        <w:pStyle w:val="PO-Level3"/>
      </w:pPr>
      <w:r>
        <w:t>Counsel of record for the parties;</w:t>
      </w:r>
    </w:p>
    <w:p w:rsidR="00F87955" w:rsidRDefault="007D0D00" w:rsidP="00536110">
      <w:pPr>
        <w:pStyle w:val="PO-Level3"/>
      </w:pPr>
      <w:r>
        <w:t>Witnesses at deposition;</w:t>
      </w:r>
    </w:p>
    <w:p w:rsidR="00F87955" w:rsidRDefault="00F87955" w:rsidP="005F37FE">
      <w:pPr>
        <w:pStyle w:val="PO-Level3"/>
      </w:pPr>
      <w:r>
        <w:t xml:space="preserve">Persons regularly in the employ of counsel for the parties who have a need </w:t>
      </w:r>
      <w:r w:rsidR="00A53701">
        <w:t xml:space="preserve">to use </w:t>
      </w:r>
      <w:r>
        <w:t xml:space="preserve">the Protected Information </w:t>
      </w:r>
      <w:r w:rsidR="005B6FD1">
        <w:t xml:space="preserve">in </w:t>
      </w:r>
      <w:r>
        <w:t xml:space="preserve">the performance of their </w:t>
      </w:r>
      <w:r w:rsidR="00055D40">
        <w:t xml:space="preserve">responsibilities related to </w:t>
      </w:r>
      <w:r>
        <w:t>this action;</w:t>
      </w:r>
    </w:p>
    <w:p w:rsidR="00F87955" w:rsidRDefault="00F87955" w:rsidP="005F37FE">
      <w:pPr>
        <w:pStyle w:val="PO-Level3"/>
      </w:pPr>
      <w:r>
        <w:t>Parties to this action</w:t>
      </w:r>
      <w:r w:rsidR="00E92A8E">
        <w:t xml:space="preserve"> </w:t>
      </w:r>
      <w:r w:rsidR="00764DD8">
        <w:t>as well as</w:t>
      </w:r>
      <w:r w:rsidR="00E92A8E">
        <w:t xml:space="preserve"> their officers, directors, </w:t>
      </w:r>
      <w:r w:rsidR="00642812">
        <w:t xml:space="preserve">in-house counsel, </w:t>
      </w:r>
      <w:r w:rsidR="00E92A8E">
        <w:t xml:space="preserve">and employees who have a need </w:t>
      </w:r>
      <w:r w:rsidR="00A53701">
        <w:t xml:space="preserve">to use </w:t>
      </w:r>
      <w:r w:rsidR="009F4368">
        <w:t xml:space="preserve">the </w:t>
      </w:r>
      <w:r w:rsidR="00E92A8E">
        <w:t xml:space="preserve">Protected Information </w:t>
      </w:r>
      <w:r w:rsidR="005B6FD1">
        <w:t>in the performance of their responsibilities related to this action</w:t>
      </w:r>
      <w:r>
        <w:t>;</w:t>
      </w:r>
    </w:p>
    <w:p w:rsidR="00F87955" w:rsidRDefault="00F87955" w:rsidP="005F37FE">
      <w:pPr>
        <w:pStyle w:val="PO-Level3"/>
      </w:pPr>
      <w:r>
        <w:t xml:space="preserve">Consultants and expert witnesses consulted, retained, or hired by any party to this action, but only to the extent that they </w:t>
      </w:r>
      <w:r w:rsidR="00A53701">
        <w:t xml:space="preserve">need </w:t>
      </w:r>
      <w:r>
        <w:t>Protected Information to elicit their expert report, opinion, testimony, and/or consultation regarding this action;</w:t>
      </w:r>
    </w:p>
    <w:p w:rsidR="00E92A8E" w:rsidRDefault="00F87955" w:rsidP="007D0D00">
      <w:pPr>
        <w:pStyle w:val="PO-Level3"/>
      </w:pPr>
      <w:r>
        <w:t xml:space="preserve">Outside contractors hired by a party (or counsel for a party) to copy, image, sort, </w:t>
      </w:r>
      <w:r w:rsidR="00A53701">
        <w:t xml:space="preserve">review, </w:t>
      </w:r>
      <w:r>
        <w:t>or otherwise manage the storage and retrieval of Protected Information;</w:t>
      </w:r>
      <w:r w:rsidR="00E92A8E">
        <w:t xml:space="preserve"> </w:t>
      </w:r>
      <w:r w:rsidR="00E92A8E" w:rsidRPr="00E92A8E">
        <w:rPr>
          <w:highlight w:val="yellow"/>
        </w:rPr>
        <w:t>and</w:t>
      </w:r>
    </w:p>
    <w:p w:rsidR="00E92A8E" w:rsidRDefault="00E92A8E" w:rsidP="00E92A8E">
      <w:pPr>
        <w:pStyle w:val="PO-Level3"/>
        <w:rPr>
          <w:highlight w:val="yellow"/>
        </w:rPr>
      </w:pPr>
      <w:r>
        <w:rPr>
          <w:highlight w:val="yellow"/>
        </w:rPr>
        <w:t xml:space="preserve">OPTIONAL: </w:t>
      </w:r>
      <w:r w:rsidRPr="00E92A8E">
        <w:rPr>
          <w:highlight w:val="yellow"/>
        </w:rPr>
        <w:t>identify individual persons by name</w:t>
      </w:r>
      <w:r>
        <w:rPr>
          <w:highlight w:val="yellow"/>
        </w:rPr>
        <w:t xml:space="preserve"> as a supplement or in lieu of any of the categories above</w:t>
      </w:r>
      <w:r w:rsidR="00B506B3">
        <w:rPr>
          <w:highlight w:val="yellow"/>
        </w:rPr>
        <w:t>.</w:t>
      </w:r>
    </w:p>
    <w:p w:rsidR="00B506B3" w:rsidRPr="00B506B3" w:rsidRDefault="00B506B3" w:rsidP="00B506B3">
      <w:pPr>
        <w:pStyle w:val="PO-Level2"/>
      </w:pPr>
      <w:r>
        <w:t xml:space="preserve">Before any person identified in subparagraphs </w:t>
      </w:r>
      <w:r w:rsidRPr="000F1384">
        <w:t>(c)(i</w:t>
      </w:r>
      <w:r>
        <w:t>ii</w:t>
      </w:r>
      <w:r w:rsidRPr="000F1384">
        <w:t>)-</w:t>
      </w:r>
      <w:r w:rsidRPr="00767DBA">
        <w:rPr>
          <w:highlight w:val="yellow"/>
        </w:rPr>
        <w:t>(v</w:t>
      </w:r>
      <w:r>
        <w:rPr>
          <w:highlight w:val="yellow"/>
        </w:rPr>
        <w:t>ii</w:t>
      </w:r>
      <w:r w:rsidRPr="00767DBA">
        <w:rPr>
          <w:highlight w:val="yellow"/>
        </w:rPr>
        <w:t>i)</w:t>
      </w:r>
      <w:r>
        <w:t xml:space="preserve"> may receive Protected Information, that person must be provided a copy of this protective order.</w:t>
      </w:r>
    </w:p>
    <w:p w:rsidR="00146EE3" w:rsidRDefault="00146EE3" w:rsidP="00146EE3">
      <w:pPr>
        <w:pStyle w:val="PO-Level1"/>
      </w:pPr>
      <w:r>
        <w:lastRenderedPageBreak/>
        <w:t xml:space="preserve">Filing Protected Information </w:t>
      </w:r>
    </w:p>
    <w:p w:rsidR="00146EE3" w:rsidRDefault="005B6FD1" w:rsidP="00146EE3">
      <w:pPr>
        <w:pStyle w:val="PO-Level2"/>
      </w:pPr>
      <w:r>
        <w:t>If a</w:t>
      </w:r>
      <w:r w:rsidR="00146EE3">
        <w:t xml:space="preserve">ny party or non-party </w:t>
      </w:r>
      <w:r>
        <w:t xml:space="preserve">seeks </w:t>
      </w:r>
      <w:r w:rsidR="00A53701">
        <w:t xml:space="preserve">to </w:t>
      </w:r>
      <w:r w:rsidR="00146EE3">
        <w:t xml:space="preserve">file Protected Information with the Court </w:t>
      </w:r>
      <w:r>
        <w:t xml:space="preserve">or to use Protected Information in open court before trial, then that party or non-party </w:t>
      </w:r>
      <w:r w:rsidR="00146EE3">
        <w:t xml:space="preserve">shall either move to file the Protected Information under seal or move to de-designate the Protected Information.  </w:t>
      </w:r>
    </w:p>
    <w:p w:rsidR="00146EE3" w:rsidRDefault="00146EE3" w:rsidP="00146EE3">
      <w:pPr>
        <w:pStyle w:val="PO-Level2"/>
      </w:pPr>
      <w:r>
        <w:t>Any party or non-party seeking to file a document under seal must comply with the Court’s Local Civil Rules.</w:t>
      </w:r>
    </w:p>
    <w:p w:rsidR="00DF5DE5" w:rsidRDefault="00635EA9" w:rsidP="000D728E">
      <w:pPr>
        <w:pStyle w:val="PO-Level1"/>
      </w:pPr>
      <w:r>
        <w:t>Challenging a Designation</w:t>
      </w:r>
    </w:p>
    <w:p w:rsidR="00232BF3" w:rsidRDefault="00877577" w:rsidP="00A57C37">
      <w:pPr>
        <w:pStyle w:val="PO-Level2"/>
      </w:pPr>
      <w:r>
        <w:t xml:space="preserve">A party that receives Protected Information may challenge the Designation of that information </w:t>
      </w:r>
      <w:r w:rsidR="00232BF3">
        <w:t xml:space="preserve">through a motion to de-designate.  </w:t>
      </w:r>
    </w:p>
    <w:p w:rsidR="00D707D0" w:rsidRDefault="00232BF3" w:rsidP="00A57C37">
      <w:pPr>
        <w:pStyle w:val="PO-Level2"/>
      </w:pPr>
      <w:r>
        <w:t xml:space="preserve">A motion to de-designate must contain a certification of counsel that </w:t>
      </w:r>
      <w:r w:rsidR="003356CD">
        <w:t>describes the efforts taken to resolve the Designation issue without court intervention; if the required description does not evidence reasonable and good faith efforts, the motion to de-designate may be summarily denied</w:t>
      </w:r>
      <w:r w:rsidR="00146EE3">
        <w:t xml:space="preserve"> or summarily granted</w:t>
      </w:r>
      <w:r w:rsidR="003356CD">
        <w:t xml:space="preserve">.  </w:t>
      </w:r>
    </w:p>
    <w:p w:rsidR="00232BF3" w:rsidRDefault="00232BF3" w:rsidP="00A57C37">
      <w:pPr>
        <w:pStyle w:val="PO-Level2"/>
      </w:pPr>
      <w:r>
        <w:t xml:space="preserve">If a party seeks to include Protected Information as </w:t>
      </w:r>
      <w:r w:rsidR="00B978C2">
        <w:t xml:space="preserve">an </w:t>
      </w:r>
      <w:r>
        <w:t xml:space="preserve">exhibit to a motion to de-designate, the party shall file a </w:t>
      </w:r>
      <w:r w:rsidR="0011232A">
        <w:t xml:space="preserve">provisional </w:t>
      </w:r>
      <w:r>
        <w:t xml:space="preserve">motion to seal </w:t>
      </w:r>
      <w:r w:rsidR="0011232A">
        <w:t xml:space="preserve">the </w:t>
      </w:r>
      <w:r>
        <w:t>exhibit.</w:t>
      </w:r>
    </w:p>
    <w:p w:rsidR="00BE0D67" w:rsidRDefault="00000380" w:rsidP="000D728E">
      <w:pPr>
        <w:pStyle w:val="PO-Level1"/>
      </w:pPr>
      <w:r>
        <w:t xml:space="preserve">Obligations Upon Termination of this Action </w:t>
      </w:r>
    </w:p>
    <w:p w:rsidR="006740FD" w:rsidRDefault="00B978C2" w:rsidP="00BE0D67">
      <w:pPr>
        <w:pStyle w:val="PO-Level2"/>
      </w:pPr>
      <w:r>
        <w:t>“</w:t>
      </w:r>
      <w:r w:rsidR="006740FD">
        <w:t>Termina</w:t>
      </w:r>
      <w:r w:rsidR="006D4752">
        <w:t>tion</w:t>
      </w:r>
      <w:r>
        <w:t>”</w:t>
      </w:r>
      <w:r w:rsidR="006740FD">
        <w:t xml:space="preserve"> </w:t>
      </w:r>
      <w:r w:rsidR="006D4752">
        <w:t xml:space="preserve">of this action occurs </w:t>
      </w:r>
      <w:r w:rsidR="006E14C0">
        <w:t>on either (</w:t>
      </w:r>
      <w:proofErr w:type="spellStart"/>
      <w:r w:rsidR="006E14C0">
        <w:t>i</w:t>
      </w:r>
      <w:proofErr w:type="spellEnd"/>
      <w:r w:rsidR="006E14C0">
        <w:t xml:space="preserve">) </w:t>
      </w:r>
      <w:r w:rsidR="009F4368">
        <w:t xml:space="preserve">the date of dismissal of this action pursuant to a settlement agreement </w:t>
      </w:r>
      <w:r w:rsidR="006E14C0">
        <w:t xml:space="preserve">or (ii) </w:t>
      </w:r>
      <w:r w:rsidR="006D4752">
        <w:t xml:space="preserve">the date upon which all appellate rights expire following </w:t>
      </w:r>
      <w:r w:rsidR="006E14C0">
        <w:t>final disposition or judgment</w:t>
      </w:r>
      <w:r w:rsidR="00E97F6B">
        <w:t xml:space="preserve"> of this action</w:t>
      </w:r>
      <w:r w:rsidR="006E14C0">
        <w:t>.</w:t>
      </w:r>
    </w:p>
    <w:p w:rsidR="00A31934" w:rsidRDefault="00A31934" w:rsidP="00A31934">
      <w:pPr>
        <w:pStyle w:val="PO-Level2"/>
      </w:pPr>
      <w:r>
        <w:t>Upon Termination, no party or non-party may Designate additional information as confidential.</w:t>
      </w:r>
    </w:p>
    <w:p w:rsidR="00A31934" w:rsidRDefault="00A31934" w:rsidP="00A31934">
      <w:pPr>
        <w:pStyle w:val="PO-Level2"/>
      </w:pPr>
      <w:r>
        <w:lastRenderedPageBreak/>
        <w:t xml:space="preserve">After 30 days following Termination, no person may move to de-designate Protected Information.  </w:t>
      </w:r>
    </w:p>
    <w:p w:rsidR="00BE0D67" w:rsidRDefault="00BE0D67" w:rsidP="00BE0D67">
      <w:pPr>
        <w:pStyle w:val="PO-Level2"/>
      </w:pPr>
      <w:r>
        <w:t xml:space="preserve">Within 60 days of </w:t>
      </w:r>
      <w:r w:rsidR="006740FD">
        <w:t xml:space="preserve">Termination, each person who has received </w:t>
      </w:r>
      <w:r>
        <w:t xml:space="preserve">Protected </w:t>
      </w:r>
      <w:r w:rsidR="006740FD">
        <w:t>Information, except those identified in subparagraphs 3(c)(</w:t>
      </w:r>
      <w:proofErr w:type="spellStart"/>
      <w:r w:rsidR="006740FD">
        <w:t>i</w:t>
      </w:r>
      <w:proofErr w:type="spellEnd"/>
      <w:r w:rsidR="006740FD">
        <w:t>) and (i</w:t>
      </w:r>
      <w:r w:rsidR="007D0D00">
        <w:t>i</w:t>
      </w:r>
      <w:r w:rsidR="006740FD">
        <w:t xml:space="preserve">) must return </w:t>
      </w:r>
      <w:r>
        <w:t xml:space="preserve">or destroy </w:t>
      </w:r>
      <w:r w:rsidR="006740FD">
        <w:t>it.</w:t>
      </w:r>
    </w:p>
    <w:p w:rsidR="00BE0D67" w:rsidRDefault="006740FD" w:rsidP="00BE0D67">
      <w:pPr>
        <w:pStyle w:val="PO-Level2"/>
      </w:pPr>
      <w:r>
        <w:t>Within 60 days of Termination, each person identified in subparagraph</w:t>
      </w:r>
      <w:r w:rsidR="000F1384">
        <w:t> </w:t>
      </w:r>
      <w:r>
        <w:t>3(c)(i</w:t>
      </w:r>
      <w:r w:rsidR="007D0D00">
        <w:t>i</w:t>
      </w:r>
      <w:r>
        <w:t xml:space="preserve">) who has received Protected Information must return or destroy it, except Protected Information </w:t>
      </w:r>
      <w:r w:rsidR="00000380">
        <w:t>(</w:t>
      </w:r>
      <w:proofErr w:type="spellStart"/>
      <w:r w:rsidR="00000380">
        <w:t>i</w:t>
      </w:r>
      <w:proofErr w:type="spellEnd"/>
      <w:r w:rsidR="00000380">
        <w:t>) that has been incorporated into counsel</w:t>
      </w:r>
      <w:r w:rsidR="000F1384">
        <w:t xml:space="preserve"> of record</w:t>
      </w:r>
      <w:r w:rsidR="00000380">
        <w:t xml:space="preserve">’s litigation case files, and (ii) the return or destruction of which would impair the integrity of those litigation case files.  </w:t>
      </w:r>
    </w:p>
    <w:p w:rsidR="006E14C0" w:rsidRDefault="006E14C0" w:rsidP="006E14C0">
      <w:pPr>
        <w:pStyle w:val="PO-Level2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620"/>
        <w:gridCol w:w="3330"/>
        <w:gridCol w:w="800"/>
      </w:tblGrid>
      <w:tr w:rsidR="00A24DE5" w:rsidTr="000A0DC5">
        <w:tc>
          <w:tcPr>
            <w:tcW w:w="28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4DE5" w:rsidRPr="00FC0288" w:rsidRDefault="00A24DE5" w:rsidP="009C1FA1">
            <w:pPr>
              <w:pStyle w:val="ProtectiveOrder-SigBlock-Normaltext"/>
              <w:rPr>
                <w:b/>
                <w:u w:val="single"/>
              </w:rPr>
            </w:pPr>
            <w:r w:rsidRPr="00FC0288">
              <w:rPr>
                <w:b/>
                <w:highlight w:val="yellow"/>
                <w:u w:val="single"/>
              </w:rPr>
              <w:t>Placeholder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24DE5" w:rsidRPr="00FC0288" w:rsidRDefault="00A24DE5" w:rsidP="009C1FA1">
            <w:pPr>
              <w:pStyle w:val="ProtectiveOrder-SigBlock-Normaltext"/>
              <w:rPr>
                <w:b/>
                <w:u w:val="single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DE5" w:rsidRPr="00FC0288" w:rsidRDefault="000A0DC5" w:rsidP="009C1FA1">
            <w:pPr>
              <w:pStyle w:val="ProtectiveOrder-SigBlock-Normaltext"/>
              <w:rPr>
                <w:b/>
                <w:u w:val="single"/>
              </w:rPr>
            </w:pPr>
            <w:r w:rsidRPr="00FC0288">
              <w:rPr>
                <w:b/>
                <w:highlight w:val="yellow"/>
                <w:u w:val="single"/>
              </w:rPr>
              <w:t>DRAFT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SigBlock-Normaltext"/>
            </w:pPr>
          </w:p>
        </w:tc>
      </w:tr>
      <w:tr w:rsidR="00A24DE5" w:rsidTr="000A0DC5">
        <w:tc>
          <w:tcPr>
            <w:tcW w:w="28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24DE5" w:rsidRPr="006E14C0" w:rsidRDefault="00A24DE5" w:rsidP="009C1FA1">
            <w:pPr>
              <w:pStyle w:val="ProtectiveOrder-SigBlock-Date"/>
              <w:rPr>
                <w:b/>
              </w:rPr>
            </w:pPr>
            <w:r w:rsidRPr="006E14C0">
              <w:rPr>
                <w:b/>
              </w:rPr>
              <w:t>Date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24DE5" w:rsidRPr="006E14C0" w:rsidRDefault="00A24DE5" w:rsidP="009C1FA1">
            <w:pPr>
              <w:pStyle w:val="ProtectiveOrder-SigBlock-Normaltex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24DE5" w:rsidRPr="006E14C0" w:rsidRDefault="00B14454" w:rsidP="009C1FA1">
            <w:pPr>
              <w:pStyle w:val="ProtectiveOrder-SigBlock-Normaltext"/>
              <w:rPr>
                <w:b/>
              </w:rPr>
            </w:pPr>
            <w:r w:rsidRPr="006E14C0">
              <w:rPr>
                <w:b/>
              </w:rPr>
              <w:t>Peter J. Phipps</w:t>
            </w:r>
            <w:r w:rsidRPr="006E14C0">
              <w:rPr>
                <w:b/>
              </w:rPr>
              <w:br/>
              <w:t>United States District Judge</w:t>
            </w:r>
            <w:r w:rsidRPr="006E14C0">
              <w:rPr>
                <w:b/>
              </w:rPr>
              <w:br/>
            </w:r>
          </w:p>
        </w:tc>
        <w:tc>
          <w:tcPr>
            <w:tcW w:w="800" w:type="dxa"/>
            <w:tcMar>
              <w:left w:w="0" w:type="dxa"/>
              <w:right w:w="0" w:type="dxa"/>
            </w:tcMar>
          </w:tcPr>
          <w:p w:rsidR="00A24DE5" w:rsidRDefault="00A24DE5" w:rsidP="009C1FA1">
            <w:pPr>
              <w:pStyle w:val="ProtectiveOrder-SigBlock-Normaltext"/>
            </w:pPr>
          </w:p>
        </w:tc>
      </w:tr>
    </w:tbl>
    <w:p w:rsidR="0064244F" w:rsidRDefault="006E14C0" w:rsidP="00A24DE5">
      <w:pPr>
        <w:tabs>
          <w:tab w:val="left" w:pos="2608"/>
        </w:tabs>
      </w:pPr>
      <w:r>
        <w:t xml:space="preserve"> </w:t>
      </w:r>
    </w:p>
    <w:sectPr w:rsidR="0064244F" w:rsidSect="00364774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A2" w:rsidRDefault="000564A2" w:rsidP="00A24DE5">
      <w:pPr>
        <w:spacing w:after="0" w:line="240" w:lineRule="auto"/>
      </w:pPr>
      <w:r>
        <w:separator/>
      </w:r>
    </w:p>
  </w:endnote>
  <w:endnote w:type="continuationSeparator" w:id="0">
    <w:p w:rsidR="000564A2" w:rsidRDefault="000564A2" w:rsidP="00A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495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64774" w:rsidRPr="00364774" w:rsidRDefault="0036477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47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47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47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647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47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64774" w:rsidRDefault="003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A2" w:rsidRDefault="000564A2" w:rsidP="00A24DE5">
      <w:pPr>
        <w:spacing w:after="0" w:line="240" w:lineRule="auto"/>
      </w:pPr>
      <w:r>
        <w:separator/>
      </w:r>
    </w:p>
  </w:footnote>
  <w:footnote w:type="continuationSeparator" w:id="0">
    <w:p w:rsidR="000564A2" w:rsidRDefault="000564A2" w:rsidP="00A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1C5"/>
    <w:multiLevelType w:val="multilevel"/>
    <w:tmpl w:val="44921C06"/>
    <w:lvl w:ilvl="0">
      <w:start w:val="1"/>
      <w:numFmt w:val="decimal"/>
      <w:pStyle w:val="PO-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-Level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PO-Level3"/>
      <w:lvlText w:val="%3)"/>
      <w:lvlJc w:val="left"/>
      <w:pPr>
        <w:tabs>
          <w:tab w:val="num" w:pos="2736"/>
        </w:tabs>
        <w:ind w:left="1800" w:hanging="360"/>
      </w:pPr>
      <w:rPr>
        <w:rFonts w:hint="default"/>
      </w:rPr>
    </w:lvl>
    <w:lvl w:ilvl="3">
      <w:start w:val="1"/>
      <w:numFmt w:val="decimal"/>
      <w:pStyle w:val="PO-Level4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1C4BEF"/>
    <w:multiLevelType w:val="hybridMultilevel"/>
    <w:tmpl w:val="878469E4"/>
    <w:lvl w:ilvl="0" w:tplc="F7E25E12">
      <w:start w:val="1"/>
      <w:numFmt w:val="decimal"/>
      <w:pStyle w:val="ProtectiveOrder-Body-NumberedParagraph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E5"/>
    <w:rsid w:val="00000380"/>
    <w:rsid w:val="00014924"/>
    <w:rsid w:val="00016861"/>
    <w:rsid w:val="00047369"/>
    <w:rsid w:val="00055D40"/>
    <w:rsid w:val="000564A2"/>
    <w:rsid w:val="00071C1D"/>
    <w:rsid w:val="000A08D8"/>
    <w:rsid w:val="000A0DC5"/>
    <w:rsid w:val="000B1832"/>
    <w:rsid w:val="000B6E96"/>
    <w:rsid w:val="000D2D25"/>
    <w:rsid w:val="000D728E"/>
    <w:rsid w:val="000E0D53"/>
    <w:rsid w:val="000E3C3B"/>
    <w:rsid w:val="000F1384"/>
    <w:rsid w:val="000F6857"/>
    <w:rsid w:val="0011232A"/>
    <w:rsid w:val="00122599"/>
    <w:rsid w:val="00131A1C"/>
    <w:rsid w:val="00140667"/>
    <w:rsid w:val="001418C6"/>
    <w:rsid w:val="00146EE3"/>
    <w:rsid w:val="001A66A3"/>
    <w:rsid w:val="001B3E79"/>
    <w:rsid w:val="001F7B0D"/>
    <w:rsid w:val="00221C57"/>
    <w:rsid w:val="00232BF3"/>
    <w:rsid w:val="002621F4"/>
    <w:rsid w:val="00291A0C"/>
    <w:rsid w:val="002A73C9"/>
    <w:rsid w:val="00312B04"/>
    <w:rsid w:val="003356CD"/>
    <w:rsid w:val="00362310"/>
    <w:rsid w:val="00364774"/>
    <w:rsid w:val="00386858"/>
    <w:rsid w:val="003B2CD6"/>
    <w:rsid w:val="003D0D11"/>
    <w:rsid w:val="00434C8D"/>
    <w:rsid w:val="004641E5"/>
    <w:rsid w:val="00492753"/>
    <w:rsid w:val="00493EB6"/>
    <w:rsid w:val="004D3B77"/>
    <w:rsid w:val="004E4E40"/>
    <w:rsid w:val="005029DB"/>
    <w:rsid w:val="00524CA0"/>
    <w:rsid w:val="00536110"/>
    <w:rsid w:val="00544B3B"/>
    <w:rsid w:val="0055444C"/>
    <w:rsid w:val="00565C6A"/>
    <w:rsid w:val="0057764F"/>
    <w:rsid w:val="005876A6"/>
    <w:rsid w:val="005B6FD1"/>
    <w:rsid w:val="005D1780"/>
    <w:rsid w:val="005D45A4"/>
    <w:rsid w:val="005F37FE"/>
    <w:rsid w:val="005F476F"/>
    <w:rsid w:val="00605634"/>
    <w:rsid w:val="00635EA9"/>
    <w:rsid w:val="0064244F"/>
    <w:rsid w:val="00642812"/>
    <w:rsid w:val="006740FD"/>
    <w:rsid w:val="006775C2"/>
    <w:rsid w:val="006C4646"/>
    <w:rsid w:val="006D1155"/>
    <w:rsid w:val="006D3AA8"/>
    <w:rsid w:val="006D4752"/>
    <w:rsid w:val="006E14C0"/>
    <w:rsid w:val="0070788D"/>
    <w:rsid w:val="00720B29"/>
    <w:rsid w:val="007408B0"/>
    <w:rsid w:val="00764DD8"/>
    <w:rsid w:val="00767DBA"/>
    <w:rsid w:val="00777166"/>
    <w:rsid w:val="007A14AA"/>
    <w:rsid w:val="007A70A7"/>
    <w:rsid w:val="007D0D00"/>
    <w:rsid w:val="0081074C"/>
    <w:rsid w:val="00825C3B"/>
    <w:rsid w:val="00833E68"/>
    <w:rsid w:val="00877577"/>
    <w:rsid w:val="0088572F"/>
    <w:rsid w:val="008C1054"/>
    <w:rsid w:val="00983B48"/>
    <w:rsid w:val="009A5C34"/>
    <w:rsid w:val="009B6013"/>
    <w:rsid w:val="009B6305"/>
    <w:rsid w:val="009C1FA1"/>
    <w:rsid w:val="009D14B6"/>
    <w:rsid w:val="009D4B8C"/>
    <w:rsid w:val="009F4368"/>
    <w:rsid w:val="00A0317A"/>
    <w:rsid w:val="00A15949"/>
    <w:rsid w:val="00A24DE5"/>
    <w:rsid w:val="00A31934"/>
    <w:rsid w:val="00A33047"/>
    <w:rsid w:val="00A43810"/>
    <w:rsid w:val="00A535E1"/>
    <w:rsid w:val="00A53701"/>
    <w:rsid w:val="00A57C37"/>
    <w:rsid w:val="00A74E58"/>
    <w:rsid w:val="00A84160"/>
    <w:rsid w:val="00AB00A4"/>
    <w:rsid w:val="00AD4B48"/>
    <w:rsid w:val="00AE1CA7"/>
    <w:rsid w:val="00AF5C60"/>
    <w:rsid w:val="00B07815"/>
    <w:rsid w:val="00B14454"/>
    <w:rsid w:val="00B25B91"/>
    <w:rsid w:val="00B506B3"/>
    <w:rsid w:val="00B84907"/>
    <w:rsid w:val="00B978C2"/>
    <w:rsid w:val="00BA513C"/>
    <w:rsid w:val="00BB4F77"/>
    <w:rsid w:val="00BD2BF8"/>
    <w:rsid w:val="00BE0D67"/>
    <w:rsid w:val="00BF3C0E"/>
    <w:rsid w:val="00C21BDC"/>
    <w:rsid w:val="00C458A5"/>
    <w:rsid w:val="00C67E22"/>
    <w:rsid w:val="00C7718F"/>
    <w:rsid w:val="00C819DE"/>
    <w:rsid w:val="00D3685C"/>
    <w:rsid w:val="00D62948"/>
    <w:rsid w:val="00D707D0"/>
    <w:rsid w:val="00D7143B"/>
    <w:rsid w:val="00DA4905"/>
    <w:rsid w:val="00DC2F5D"/>
    <w:rsid w:val="00DF5DE5"/>
    <w:rsid w:val="00E136CA"/>
    <w:rsid w:val="00E24866"/>
    <w:rsid w:val="00E475F5"/>
    <w:rsid w:val="00E81B2F"/>
    <w:rsid w:val="00E92A8E"/>
    <w:rsid w:val="00E97F6B"/>
    <w:rsid w:val="00F12166"/>
    <w:rsid w:val="00F25F3F"/>
    <w:rsid w:val="00F273C2"/>
    <w:rsid w:val="00F37D42"/>
    <w:rsid w:val="00F51B77"/>
    <w:rsid w:val="00F630F2"/>
    <w:rsid w:val="00F758F9"/>
    <w:rsid w:val="00F829B3"/>
    <w:rsid w:val="00F87955"/>
    <w:rsid w:val="00FC0288"/>
    <w:rsid w:val="00FD0FC0"/>
    <w:rsid w:val="00FD4B79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ctiveOrder-Body-Normaltext">
    <w:name w:val="Protective Order - Body - Normal text"/>
    <w:basedOn w:val="Normal"/>
    <w:qFormat/>
    <w:rsid w:val="00A24DE5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customStyle="1" w:styleId="ProtectiveOrder-Caption-Court">
    <w:name w:val="Protective Order - Caption - Court"/>
    <w:basedOn w:val="Normal"/>
    <w:qFormat/>
    <w:rsid w:val="00A24DE5"/>
    <w:pPr>
      <w:spacing w:after="24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ProtectiveOrder-Caption-blankline">
    <w:name w:val="Protective Order - Caption - blank line"/>
    <w:basedOn w:val="Normal"/>
    <w:qFormat/>
    <w:rsid w:val="00A24DE5"/>
    <w:pPr>
      <w:spacing w:after="0" w:line="240" w:lineRule="auto"/>
    </w:pPr>
    <w:rPr>
      <w:rFonts w:ascii="Times New Roman" w:hAnsi="Times New Roman"/>
    </w:rPr>
  </w:style>
  <w:style w:type="paragraph" w:customStyle="1" w:styleId="ProtectiveOrder-Caption-PartyName">
    <w:name w:val="Protective Order - Caption - Party Name"/>
    <w:basedOn w:val="Normal"/>
    <w:qFormat/>
    <w:rsid w:val="00A24DE5"/>
    <w:pPr>
      <w:spacing w:after="240" w:line="240" w:lineRule="auto"/>
    </w:pPr>
    <w:rPr>
      <w:rFonts w:ascii="Times New Roman" w:hAnsi="Times New Roman"/>
      <w:b/>
      <w:sz w:val="24"/>
    </w:rPr>
  </w:style>
  <w:style w:type="paragraph" w:customStyle="1" w:styleId="ProtectiveOrder-Caption-PartyStatus">
    <w:name w:val="Protective Order - Caption - Party Status"/>
    <w:basedOn w:val="Normal"/>
    <w:qFormat/>
    <w:rsid w:val="00A24DE5"/>
    <w:pPr>
      <w:spacing w:after="0" w:line="240" w:lineRule="auto"/>
      <w:ind w:left="720"/>
    </w:pPr>
    <w:rPr>
      <w:rFonts w:ascii="Times New Roman" w:hAnsi="Times New Roman"/>
      <w:i/>
      <w:sz w:val="24"/>
    </w:rPr>
  </w:style>
  <w:style w:type="paragraph" w:customStyle="1" w:styleId="ProtectiveOrder-Caption-Normaltext">
    <w:name w:val="Protective Order - Caption - Normal text"/>
    <w:basedOn w:val="Normal"/>
    <w:qFormat/>
    <w:rsid w:val="00A24DE5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rotectiveOrder-Caption-DocumentTitle">
    <w:name w:val="Protective Order - Caption - Document Title"/>
    <w:basedOn w:val="Normal"/>
    <w:qFormat/>
    <w:rsid w:val="00A24DE5"/>
    <w:pPr>
      <w:spacing w:before="240" w:after="24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ProtectiveOrder-Body-NumberedParagraphs">
    <w:name w:val="Protective Order - Body - Numbered Paragraphs"/>
    <w:basedOn w:val="ProtectiveOrder-Body-Normaltext"/>
    <w:qFormat/>
    <w:rsid w:val="00A24DE5"/>
    <w:pPr>
      <w:numPr>
        <w:numId w:val="1"/>
      </w:numPr>
      <w:ind w:left="0" w:firstLine="720"/>
    </w:pPr>
  </w:style>
  <w:style w:type="paragraph" w:customStyle="1" w:styleId="ProtectiveOrder-SigBlock-Date">
    <w:name w:val="Protective Order - Sig Block - Date"/>
    <w:basedOn w:val="ProtectiveOrder-Body-Normaltext"/>
    <w:rsid w:val="00A24DE5"/>
    <w:pPr>
      <w:spacing w:after="480"/>
      <w:ind w:firstLine="0"/>
    </w:pPr>
  </w:style>
  <w:style w:type="paragraph" w:customStyle="1" w:styleId="ProtectiveOrder-SigBlock-Normaltext">
    <w:name w:val="Protective Order - Sig Block - Normal text"/>
    <w:basedOn w:val="ProtectiveOrder-SigBlock-Date"/>
    <w:qFormat/>
    <w:rsid w:val="00A24DE5"/>
    <w:pPr>
      <w:spacing w:after="0" w:line="240" w:lineRule="auto"/>
    </w:pPr>
  </w:style>
  <w:style w:type="paragraph" w:customStyle="1" w:styleId="ProtectiveOrder-SigBlock-Attorneyfor">
    <w:name w:val="Protective Order - Sig Block - Attorney for"/>
    <w:basedOn w:val="ProtectiveOrder-SigBlock-Normaltext"/>
    <w:qFormat/>
    <w:rsid w:val="00A24DE5"/>
    <w:pPr>
      <w:spacing w:before="240"/>
    </w:pPr>
    <w:rPr>
      <w:i/>
    </w:rPr>
  </w:style>
  <w:style w:type="paragraph" w:styleId="Footer">
    <w:name w:val="footer"/>
    <w:basedOn w:val="Normal"/>
    <w:link w:val="FooterChar"/>
    <w:uiPriority w:val="99"/>
    <w:unhideWhenUsed/>
    <w:rsid w:val="00A2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E5"/>
  </w:style>
  <w:style w:type="paragraph" w:styleId="Header">
    <w:name w:val="header"/>
    <w:basedOn w:val="Normal"/>
    <w:link w:val="HeaderChar"/>
    <w:uiPriority w:val="99"/>
    <w:unhideWhenUsed/>
    <w:rsid w:val="00A2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E5"/>
  </w:style>
  <w:style w:type="character" w:styleId="CommentReference">
    <w:name w:val="annotation reference"/>
    <w:basedOn w:val="DefaultParagraphFont"/>
    <w:uiPriority w:val="99"/>
    <w:semiHidden/>
    <w:unhideWhenUsed/>
    <w:rsid w:val="00A2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E5"/>
    <w:rPr>
      <w:rFonts w:ascii="Segoe UI" w:hAnsi="Segoe UI" w:cs="Segoe UI"/>
      <w:sz w:val="18"/>
      <w:szCs w:val="18"/>
    </w:rPr>
  </w:style>
  <w:style w:type="paragraph" w:customStyle="1" w:styleId="PO-Level1">
    <w:name w:val="PO - Level 1"/>
    <w:basedOn w:val="ProtectiveOrder-Body-Normaltext"/>
    <w:qFormat/>
    <w:rsid w:val="00AD4B48"/>
    <w:pPr>
      <w:keepNext/>
      <w:keepLines/>
      <w:numPr>
        <w:numId w:val="2"/>
      </w:numPr>
      <w:spacing w:before="240" w:after="240" w:line="240" w:lineRule="auto"/>
    </w:pPr>
    <w:rPr>
      <w:b/>
    </w:rPr>
  </w:style>
  <w:style w:type="paragraph" w:customStyle="1" w:styleId="PO-Level2">
    <w:name w:val="PO - Level 2"/>
    <w:basedOn w:val="PO-Level1"/>
    <w:qFormat/>
    <w:rsid w:val="00E92A8E"/>
    <w:pPr>
      <w:keepNext w:val="0"/>
      <w:numPr>
        <w:ilvl w:val="1"/>
      </w:numPr>
      <w:spacing w:before="0" w:after="0" w:line="480" w:lineRule="auto"/>
      <w:ind w:left="0" w:firstLine="720"/>
    </w:pPr>
    <w:rPr>
      <w:b w:val="0"/>
    </w:rPr>
  </w:style>
  <w:style w:type="paragraph" w:customStyle="1" w:styleId="PO-Level3">
    <w:name w:val="PO - Level 3"/>
    <w:basedOn w:val="PO-Level2"/>
    <w:qFormat/>
    <w:rsid w:val="00E92A8E"/>
    <w:pPr>
      <w:numPr>
        <w:ilvl w:val="2"/>
      </w:numPr>
      <w:spacing w:after="240" w:line="240" w:lineRule="auto"/>
      <w:ind w:left="2160" w:hanging="720"/>
    </w:pPr>
  </w:style>
  <w:style w:type="paragraph" w:customStyle="1" w:styleId="PO-Level4">
    <w:name w:val="PO - Level 4"/>
    <w:basedOn w:val="PO-Level2"/>
    <w:qFormat/>
    <w:rsid w:val="009D14B6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50FB-63DD-468D-AC65-3DEA7694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2019-04-01T17:58:00Z</dcterms:created>
  <dcterms:modified xsi:type="dcterms:W3CDTF">2019-04-01T17:58:00Z</dcterms:modified>
</cp:coreProperties>
</file>